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24A" w:rsidRPr="0078624A" w:rsidRDefault="0078624A" w:rsidP="0078624A">
      <w:pPr>
        <w:jc w:val="right"/>
        <w:rPr>
          <w:rFonts w:ascii="Times New Roman" w:hAnsi="Times New Roman" w:cs="Times New Roman"/>
          <w:sz w:val="24"/>
          <w:szCs w:val="24"/>
        </w:rPr>
      </w:pPr>
      <w:r w:rsidRPr="0078624A">
        <w:rPr>
          <w:rFonts w:ascii="Times New Roman" w:hAnsi="Times New Roman" w:cs="Times New Roman"/>
          <w:sz w:val="24"/>
          <w:szCs w:val="24"/>
        </w:rPr>
        <w:t>Załącznik nr 1 do zaproszenia</w:t>
      </w:r>
    </w:p>
    <w:p w:rsidR="00DC3770" w:rsidRDefault="00975C53" w:rsidP="00975C53">
      <w:pPr>
        <w:jc w:val="center"/>
        <w:rPr>
          <w:b/>
          <w:sz w:val="48"/>
          <w:szCs w:val="48"/>
          <w:u w:val="single"/>
        </w:rPr>
      </w:pPr>
      <w:r w:rsidRPr="00975C53">
        <w:rPr>
          <w:b/>
          <w:sz w:val="48"/>
          <w:szCs w:val="48"/>
          <w:u w:val="single"/>
        </w:rPr>
        <w:t>SPECYFIKACJA TECHNICZNA</w:t>
      </w:r>
    </w:p>
    <w:p w:rsidR="00975C53" w:rsidRDefault="00975C53" w:rsidP="00975C53">
      <w:pPr>
        <w:jc w:val="center"/>
        <w:rPr>
          <w:b/>
          <w:sz w:val="32"/>
          <w:szCs w:val="32"/>
          <w:u w:val="single"/>
        </w:rPr>
      </w:pPr>
      <w:r>
        <w:rPr>
          <w:b/>
          <w:sz w:val="32"/>
          <w:szCs w:val="32"/>
          <w:u w:val="single"/>
        </w:rPr>
        <w:t>Nazwa zadania:</w:t>
      </w:r>
    </w:p>
    <w:p w:rsidR="00975C53" w:rsidRDefault="00975C53" w:rsidP="00975C53">
      <w:pPr>
        <w:spacing w:after="0"/>
        <w:jc w:val="center"/>
        <w:rPr>
          <w:sz w:val="24"/>
          <w:szCs w:val="24"/>
        </w:rPr>
      </w:pPr>
      <w:r w:rsidRPr="00975C53">
        <w:rPr>
          <w:sz w:val="24"/>
          <w:szCs w:val="24"/>
        </w:rPr>
        <w:t>„Wymiana nawierzchni z trawy syntetycznej na boisku sportowym w Baboszewie”</w:t>
      </w:r>
    </w:p>
    <w:p w:rsidR="00975C53" w:rsidRDefault="00975C53" w:rsidP="00975C53">
      <w:pPr>
        <w:spacing w:after="0"/>
        <w:jc w:val="center"/>
        <w:rPr>
          <w:sz w:val="24"/>
          <w:szCs w:val="24"/>
        </w:rPr>
      </w:pPr>
    </w:p>
    <w:p w:rsidR="00975C53" w:rsidRDefault="00975C53" w:rsidP="00975C53">
      <w:pPr>
        <w:spacing w:after="0"/>
        <w:jc w:val="center"/>
        <w:rPr>
          <w:b/>
          <w:i/>
          <w:sz w:val="24"/>
          <w:szCs w:val="24"/>
        </w:rPr>
      </w:pPr>
      <w:r w:rsidRPr="00975C53">
        <w:rPr>
          <w:b/>
          <w:i/>
          <w:sz w:val="24"/>
          <w:szCs w:val="24"/>
        </w:rPr>
        <w:t>Boisko sportowe o nawierzchni z trawy syntetycznej</w:t>
      </w:r>
      <w:r w:rsidR="00E40646">
        <w:rPr>
          <w:b/>
          <w:i/>
          <w:sz w:val="24"/>
          <w:szCs w:val="24"/>
        </w:rPr>
        <w:t xml:space="preserve"> zlokalizowane jest na działce</w:t>
      </w:r>
    </w:p>
    <w:p w:rsidR="00E40646" w:rsidRDefault="00E40646" w:rsidP="00975C53">
      <w:pPr>
        <w:spacing w:after="0"/>
        <w:jc w:val="center"/>
        <w:rPr>
          <w:b/>
          <w:i/>
          <w:sz w:val="24"/>
          <w:szCs w:val="24"/>
        </w:rPr>
      </w:pPr>
      <w:r>
        <w:rPr>
          <w:b/>
          <w:i/>
          <w:sz w:val="24"/>
          <w:szCs w:val="24"/>
        </w:rPr>
        <w:t>nr ewid. 322 w miejscowości Baboszewo</w:t>
      </w:r>
    </w:p>
    <w:p w:rsidR="00C42DF7" w:rsidRDefault="00C42DF7" w:rsidP="00975C53">
      <w:pPr>
        <w:spacing w:after="0"/>
        <w:jc w:val="center"/>
        <w:rPr>
          <w:i/>
          <w:sz w:val="24"/>
          <w:szCs w:val="24"/>
        </w:rPr>
      </w:pPr>
    </w:p>
    <w:p w:rsidR="00975C53" w:rsidRDefault="00975C53" w:rsidP="00975C53">
      <w:pPr>
        <w:spacing w:after="0"/>
        <w:jc w:val="center"/>
        <w:rPr>
          <w:rFonts w:ascii="Arial" w:hAnsi="Arial" w:cs="Arial"/>
          <w:color w:val="222222"/>
          <w:sz w:val="21"/>
          <w:szCs w:val="21"/>
          <w:shd w:val="clear" w:color="auto" w:fill="FFFFFF"/>
        </w:rPr>
      </w:pPr>
      <w:bookmarkStart w:id="0" w:name="_GoBack"/>
      <w:bookmarkEnd w:id="0"/>
      <w:r>
        <w:rPr>
          <w:i/>
          <w:sz w:val="24"/>
          <w:szCs w:val="24"/>
        </w:rPr>
        <w:t xml:space="preserve">Łączna powierzchnia projektowanego boiska: 1 056,00 </w:t>
      </w:r>
      <w:r>
        <w:rPr>
          <w:rFonts w:ascii="Arial" w:hAnsi="Arial" w:cs="Arial"/>
          <w:color w:val="222222"/>
          <w:sz w:val="21"/>
          <w:szCs w:val="21"/>
          <w:shd w:val="clear" w:color="auto" w:fill="FFFFFF"/>
        </w:rPr>
        <w:t>m²</w:t>
      </w:r>
    </w:p>
    <w:p w:rsidR="00975C53" w:rsidRDefault="00975C53" w:rsidP="00975C53">
      <w:pPr>
        <w:spacing w:after="0"/>
        <w:jc w:val="center"/>
        <w:rPr>
          <w:rFonts w:ascii="Arial" w:hAnsi="Arial" w:cs="Arial"/>
          <w:color w:val="222222"/>
          <w:sz w:val="21"/>
          <w:szCs w:val="21"/>
          <w:shd w:val="clear" w:color="auto" w:fill="FFFFFF"/>
        </w:rPr>
      </w:pPr>
      <w:r>
        <w:rPr>
          <w:rFonts w:ascii="Arial" w:hAnsi="Arial" w:cs="Arial"/>
          <w:color w:val="222222"/>
          <w:sz w:val="21"/>
          <w:szCs w:val="21"/>
          <w:shd w:val="clear" w:color="auto" w:fill="FFFFFF"/>
        </w:rPr>
        <w:t>Docelowe wymiary boiska: 44 x 24</w:t>
      </w:r>
    </w:p>
    <w:p w:rsidR="00975C53" w:rsidRDefault="00975C53" w:rsidP="00975C53">
      <w:pPr>
        <w:spacing w:after="0"/>
        <w:jc w:val="center"/>
        <w:rPr>
          <w:rFonts w:ascii="Arial" w:hAnsi="Arial" w:cs="Arial"/>
          <w:color w:val="222222"/>
          <w:sz w:val="21"/>
          <w:szCs w:val="21"/>
          <w:shd w:val="clear" w:color="auto" w:fill="FFFFFF"/>
        </w:rPr>
      </w:pPr>
    </w:p>
    <w:p w:rsidR="00975C53" w:rsidRDefault="00975C53" w:rsidP="00975C53">
      <w:pPr>
        <w:spacing w:after="0"/>
        <w:jc w:val="center"/>
        <w:rPr>
          <w:rFonts w:ascii="Arial" w:hAnsi="Arial" w:cs="Arial"/>
          <w:color w:val="222222"/>
          <w:sz w:val="21"/>
          <w:szCs w:val="21"/>
          <w:shd w:val="clear" w:color="auto" w:fill="FFFFFF"/>
        </w:rPr>
      </w:pPr>
    </w:p>
    <w:p w:rsidR="00975C53" w:rsidRDefault="00975C53" w:rsidP="00975C53">
      <w:pPr>
        <w:pStyle w:val="Akapitzlist"/>
        <w:numPr>
          <w:ilvl w:val="0"/>
          <w:numId w:val="1"/>
        </w:numPr>
        <w:spacing w:after="0"/>
        <w:rPr>
          <w:b/>
          <w:sz w:val="24"/>
          <w:szCs w:val="24"/>
        </w:rPr>
      </w:pPr>
      <w:r w:rsidRPr="00975C53">
        <w:rPr>
          <w:b/>
          <w:sz w:val="24"/>
          <w:szCs w:val="24"/>
        </w:rPr>
        <w:t>Charakterystyka obiektu.</w:t>
      </w:r>
    </w:p>
    <w:p w:rsidR="00445C90" w:rsidRDefault="00445C90" w:rsidP="00445C90">
      <w:pPr>
        <w:pStyle w:val="Akapitzlist"/>
        <w:spacing w:after="0"/>
        <w:rPr>
          <w:b/>
          <w:sz w:val="24"/>
          <w:szCs w:val="24"/>
        </w:rPr>
      </w:pPr>
    </w:p>
    <w:p w:rsidR="00975C53" w:rsidRDefault="00975C53" w:rsidP="00E40646">
      <w:pPr>
        <w:pStyle w:val="Akapitzlist"/>
        <w:spacing w:after="0"/>
        <w:jc w:val="both"/>
        <w:rPr>
          <w:sz w:val="24"/>
          <w:szCs w:val="24"/>
        </w:rPr>
      </w:pPr>
      <w:r>
        <w:rPr>
          <w:sz w:val="24"/>
          <w:szCs w:val="24"/>
        </w:rPr>
        <w:t>Na obiekcie przewiduje się wymianę istniejącej nawierzchni z trawy syntetycznej na nową trawę syntetyczną która wypełniona będzie suszonym piaskiem kwarcowym. Przed montażem nowej nawierzchni Wykonawca podejmie się równania istniejącej warstwy wierzchniej podbudowy. Przed przystąpieniem do prac należy zdemontować aktualnie znajdujący się na boisku sprzęt sportowy który w późniejszym czasie, przed zakończeniem pra</w:t>
      </w:r>
      <w:r w:rsidR="00E40646">
        <w:rPr>
          <w:sz w:val="24"/>
          <w:szCs w:val="24"/>
        </w:rPr>
        <w:t>c, Wykonawca ponownie zamontuje</w:t>
      </w:r>
      <w:r w:rsidR="00E40646">
        <w:rPr>
          <w:sz w:val="24"/>
          <w:szCs w:val="24"/>
        </w:rPr>
        <w:br/>
      </w:r>
      <w:r>
        <w:rPr>
          <w:sz w:val="24"/>
          <w:szCs w:val="24"/>
        </w:rPr>
        <w:t>w obiekcie.</w:t>
      </w:r>
    </w:p>
    <w:p w:rsidR="00E40646" w:rsidRDefault="00E40646" w:rsidP="00E40646">
      <w:pPr>
        <w:pStyle w:val="Akapitzlist"/>
        <w:spacing w:after="0"/>
        <w:jc w:val="both"/>
        <w:rPr>
          <w:sz w:val="24"/>
          <w:szCs w:val="24"/>
        </w:rPr>
      </w:pPr>
    </w:p>
    <w:p w:rsidR="00E40646" w:rsidRPr="00E40646" w:rsidRDefault="00E40646" w:rsidP="00E40646">
      <w:pPr>
        <w:pStyle w:val="Akapitzlist"/>
        <w:numPr>
          <w:ilvl w:val="0"/>
          <w:numId w:val="1"/>
        </w:numPr>
        <w:spacing w:after="0"/>
        <w:jc w:val="both"/>
        <w:rPr>
          <w:b/>
          <w:sz w:val="24"/>
          <w:szCs w:val="24"/>
        </w:rPr>
      </w:pPr>
      <w:r w:rsidRPr="00E40646">
        <w:rPr>
          <w:b/>
          <w:sz w:val="24"/>
          <w:szCs w:val="24"/>
        </w:rPr>
        <w:t>Zakres robót:</w:t>
      </w:r>
    </w:p>
    <w:p w:rsidR="00E40646" w:rsidRPr="00E40646" w:rsidRDefault="00E40646" w:rsidP="00E40646">
      <w:pPr>
        <w:pStyle w:val="Akapitzlist"/>
        <w:numPr>
          <w:ilvl w:val="0"/>
          <w:numId w:val="14"/>
        </w:numPr>
        <w:spacing w:after="0"/>
        <w:jc w:val="both"/>
        <w:rPr>
          <w:vanish/>
          <w:sz w:val="24"/>
          <w:szCs w:val="24"/>
        </w:rPr>
      </w:pPr>
    </w:p>
    <w:p w:rsidR="00E40646" w:rsidRPr="00E40646" w:rsidRDefault="00E40646" w:rsidP="00E40646">
      <w:pPr>
        <w:pStyle w:val="Akapitzlist"/>
        <w:numPr>
          <w:ilvl w:val="0"/>
          <w:numId w:val="14"/>
        </w:numPr>
        <w:spacing w:after="0"/>
        <w:jc w:val="both"/>
        <w:rPr>
          <w:vanish/>
          <w:sz w:val="24"/>
          <w:szCs w:val="24"/>
        </w:rPr>
      </w:pPr>
    </w:p>
    <w:p w:rsidR="00E40646" w:rsidRDefault="00E40646" w:rsidP="00E40646">
      <w:pPr>
        <w:pStyle w:val="Akapitzlist"/>
        <w:numPr>
          <w:ilvl w:val="1"/>
          <w:numId w:val="14"/>
        </w:numPr>
        <w:spacing w:after="0"/>
        <w:ind w:left="1276" w:hanging="567"/>
        <w:jc w:val="both"/>
        <w:rPr>
          <w:sz w:val="24"/>
          <w:szCs w:val="24"/>
        </w:rPr>
      </w:pPr>
      <w:r>
        <w:rPr>
          <w:sz w:val="24"/>
          <w:szCs w:val="24"/>
        </w:rPr>
        <w:t>oznaczenie terenu budowy,</w:t>
      </w:r>
    </w:p>
    <w:p w:rsidR="00E40646" w:rsidRDefault="00E40646" w:rsidP="00E40646">
      <w:pPr>
        <w:pStyle w:val="Akapitzlist"/>
        <w:numPr>
          <w:ilvl w:val="1"/>
          <w:numId w:val="14"/>
        </w:numPr>
        <w:spacing w:after="0"/>
        <w:ind w:left="1276" w:hanging="567"/>
        <w:jc w:val="both"/>
        <w:rPr>
          <w:sz w:val="24"/>
          <w:szCs w:val="24"/>
        </w:rPr>
      </w:pPr>
      <w:r>
        <w:rPr>
          <w:sz w:val="24"/>
          <w:szCs w:val="24"/>
        </w:rPr>
        <w:t>zabezpieczenie terenu budowy,</w:t>
      </w:r>
    </w:p>
    <w:p w:rsidR="00E40646" w:rsidRDefault="00E40646" w:rsidP="00E40646">
      <w:pPr>
        <w:pStyle w:val="Akapitzlist"/>
        <w:numPr>
          <w:ilvl w:val="1"/>
          <w:numId w:val="14"/>
        </w:numPr>
        <w:spacing w:after="0"/>
        <w:ind w:left="1276" w:hanging="567"/>
        <w:jc w:val="both"/>
        <w:rPr>
          <w:sz w:val="24"/>
          <w:szCs w:val="24"/>
        </w:rPr>
      </w:pPr>
      <w:r>
        <w:rPr>
          <w:sz w:val="24"/>
          <w:szCs w:val="24"/>
        </w:rPr>
        <w:t xml:space="preserve">demontaż istniejącego osprzętu </w:t>
      </w:r>
      <w:r w:rsidR="00EA5995">
        <w:rPr>
          <w:sz w:val="24"/>
          <w:szCs w:val="24"/>
        </w:rPr>
        <w:t>sportowego (umożliwiający jego ponowny montaż poz. 2.12,),</w:t>
      </w:r>
    </w:p>
    <w:p w:rsidR="00E40646" w:rsidRDefault="00E40646" w:rsidP="00E40646">
      <w:pPr>
        <w:pStyle w:val="Akapitzlist"/>
        <w:numPr>
          <w:ilvl w:val="1"/>
          <w:numId w:val="14"/>
        </w:numPr>
        <w:spacing w:after="0"/>
        <w:ind w:left="1276" w:hanging="567"/>
        <w:jc w:val="both"/>
        <w:rPr>
          <w:sz w:val="24"/>
          <w:szCs w:val="24"/>
        </w:rPr>
      </w:pPr>
      <w:r>
        <w:rPr>
          <w:sz w:val="24"/>
          <w:szCs w:val="24"/>
        </w:rPr>
        <w:t>przygotowanie istniejącej nawierzchni syntetycznej pod demontaż,</w:t>
      </w:r>
    </w:p>
    <w:p w:rsidR="00E40646" w:rsidRDefault="00EA5995" w:rsidP="00E40646">
      <w:pPr>
        <w:pStyle w:val="Akapitzlist"/>
        <w:numPr>
          <w:ilvl w:val="1"/>
          <w:numId w:val="14"/>
        </w:numPr>
        <w:spacing w:after="0"/>
        <w:ind w:left="1276" w:hanging="567"/>
        <w:jc w:val="both"/>
        <w:rPr>
          <w:sz w:val="24"/>
          <w:szCs w:val="24"/>
        </w:rPr>
      </w:pPr>
      <w:r>
        <w:rPr>
          <w:sz w:val="24"/>
          <w:szCs w:val="24"/>
        </w:rPr>
        <w:t>demontaż oraz utylizacja istniejącej nawierzchni z trawy syntetycznej,</w:t>
      </w:r>
    </w:p>
    <w:p w:rsidR="00EA5995" w:rsidRDefault="00EA5995" w:rsidP="00E40646">
      <w:pPr>
        <w:pStyle w:val="Akapitzlist"/>
        <w:numPr>
          <w:ilvl w:val="1"/>
          <w:numId w:val="14"/>
        </w:numPr>
        <w:spacing w:after="0"/>
        <w:ind w:left="1276" w:hanging="567"/>
        <w:jc w:val="both"/>
        <w:rPr>
          <w:sz w:val="24"/>
          <w:szCs w:val="24"/>
        </w:rPr>
      </w:pPr>
      <w:r>
        <w:rPr>
          <w:sz w:val="24"/>
          <w:szCs w:val="24"/>
        </w:rPr>
        <w:t>uzupełnienie, równanie oraz zagęszczenie wierzchniej warstwy podbudowy,</w:t>
      </w:r>
    </w:p>
    <w:p w:rsidR="00EA5995" w:rsidRDefault="00EA5995" w:rsidP="00E40646">
      <w:pPr>
        <w:pStyle w:val="Akapitzlist"/>
        <w:numPr>
          <w:ilvl w:val="1"/>
          <w:numId w:val="14"/>
        </w:numPr>
        <w:spacing w:after="0"/>
        <w:ind w:left="1276" w:hanging="567"/>
        <w:jc w:val="both"/>
        <w:rPr>
          <w:sz w:val="24"/>
          <w:szCs w:val="24"/>
        </w:rPr>
      </w:pPr>
      <w:r>
        <w:rPr>
          <w:sz w:val="24"/>
          <w:szCs w:val="24"/>
        </w:rPr>
        <w:t>przygotowanie wierzchniej warstwy podbudowy pod montaż nawierzchni syntetycznej,</w:t>
      </w:r>
    </w:p>
    <w:p w:rsidR="00EA5995" w:rsidRDefault="00EA5995" w:rsidP="00E40646">
      <w:pPr>
        <w:pStyle w:val="Akapitzlist"/>
        <w:numPr>
          <w:ilvl w:val="1"/>
          <w:numId w:val="14"/>
        </w:numPr>
        <w:spacing w:after="0"/>
        <w:ind w:left="1276" w:hanging="567"/>
        <w:jc w:val="both"/>
        <w:rPr>
          <w:sz w:val="24"/>
          <w:szCs w:val="24"/>
        </w:rPr>
      </w:pPr>
      <w:r>
        <w:rPr>
          <w:sz w:val="24"/>
          <w:szCs w:val="24"/>
        </w:rPr>
        <w:t>montaż nowej nawierzchni z trawy syntetycznej,</w:t>
      </w:r>
    </w:p>
    <w:p w:rsidR="00EA5995" w:rsidRDefault="00EA5995" w:rsidP="00E40646">
      <w:pPr>
        <w:pStyle w:val="Akapitzlist"/>
        <w:numPr>
          <w:ilvl w:val="1"/>
          <w:numId w:val="14"/>
        </w:numPr>
        <w:spacing w:after="0"/>
        <w:ind w:left="1276" w:hanging="567"/>
        <w:jc w:val="both"/>
        <w:rPr>
          <w:sz w:val="24"/>
          <w:szCs w:val="24"/>
        </w:rPr>
      </w:pPr>
      <w:r>
        <w:rPr>
          <w:sz w:val="24"/>
          <w:szCs w:val="24"/>
        </w:rPr>
        <w:t>wcinanie oraz wklejenie linii wyznaczających pola gry do tenisa oraz piłki ręcznej,</w:t>
      </w:r>
    </w:p>
    <w:p w:rsidR="00EA5995" w:rsidRDefault="00EA5995" w:rsidP="00E40646">
      <w:pPr>
        <w:pStyle w:val="Akapitzlist"/>
        <w:numPr>
          <w:ilvl w:val="1"/>
          <w:numId w:val="14"/>
        </w:numPr>
        <w:spacing w:after="0"/>
        <w:ind w:left="1276" w:hanging="567"/>
        <w:jc w:val="both"/>
        <w:rPr>
          <w:sz w:val="24"/>
          <w:szCs w:val="24"/>
        </w:rPr>
      </w:pPr>
      <w:r>
        <w:rPr>
          <w:sz w:val="24"/>
          <w:szCs w:val="24"/>
        </w:rPr>
        <w:t>uzupełnienie nowej nawierzchni z trawy syntetycznej piaskiem kwarcowym,</w:t>
      </w:r>
    </w:p>
    <w:p w:rsidR="00EA5995" w:rsidRDefault="00EA5995" w:rsidP="00E40646">
      <w:pPr>
        <w:pStyle w:val="Akapitzlist"/>
        <w:numPr>
          <w:ilvl w:val="1"/>
          <w:numId w:val="14"/>
        </w:numPr>
        <w:spacing w:after="0"/>
        <w:ind w:left="1276" w:hanging="567"/>
        <w:jc w:val="both"/>
        <w:rPr>
          <w:sz w:val="24"/>
          <w:szCs w:val="24"/>
        </w:rPr>
      </w:pPr>
      <w:r>
        <w:rPr>
          <w:sz w:val="24"/>
          <w:szCs w:val="24"/>
        </w:rPr>
        <w:t>równanie piasku kwarcowego poprzez wielokrotne szczotkowanie sprzętem mechanicznym oraz obróbka ręczna przy obrzeżach boiska jak również w miejscach trudno dostępnych,</w:t>
      </w:r>
    </w:p>
    <w:p w:rsidR="00EA5995" w:rsidRDefault="00EA5995" w:rsidP="00E40646">
      <w:pPr>
        <w:pStyle w:val="Akapitzlist"/>
        <w:numPr>
          <w:ilvl w:val="1"/>
          <w:numId w:val="14"/>
        </w:numPr>
        <w:spacing w:after="0"/>
        <w:ind w:left="1276" w:hanging="567"/>
        <w:jc w:val="both"/>
        <w:rPr>
          <w:sz w:val="24"/>
          <w:szCs w:val="24"/>
        </w:rPr>
      </w:pPr>
      <w:r>
        <w:rPr>
          <w:sz w:val="24"/>
          <w:szCs w:val="24"/>
        </w:rPr>
        <w:t>ponowny montaż osprzętu sportowego (wcześniej zdemontowanego poz. 2.3.),</w:t>
      </w:r>
    </w:p>
    <w:p w:rsidR="00EA5995" w:rsidRDefault="00EA5995" w:rsidP="00E40646">
      <w:pPr>
        <w:pStyle w:val="Akapitzlist"/>
        <w:numPr>
          <w:ilvl w:val="1"/>
          <w:numId w:val="14"/>
        </w:numPr>
        <w:spacing w:after="0"/>
        <w:ind w:left="1276" w:hanging="567"/>
        <w:jc w:val="both"/>
        <w:rPr>
          <w:sz w:val="24"/>
          <w:szCs w:val="24"/>
        </w:rPr>
      </w:pPr>
      <w:r>
        <w:rPr>
          <w:sz w:val="24"/>
          <w:szCs w:val="24"/>
        </w:rPr>
        <w:t>uporządkowanie terenu budowy po zakończeni prac.</w:t>
      </w:r>
    </w:p>
    <w:p w:rsidR="00975C53" w:rsidRDefault="00975C53" w:rsidP="00975C53">
      <w:pPr>
        <w:pStyle w:val="Akapitzlist"/>
        <w:spacing w:after="0"/>
        <w:rPr>
          <w:sz w:val="24"/>
          <w:szCs w:val="24"/>
        </w:rPr>
      </w:pPr>
    </w:p>
    <w:p w:rsidR="00975C53" w:rsidRDefault="00975C53" w:rsidP="00975C53">
      <w:pPr>
        <w:pStyle w:val="Akapitzlist"/>
        <w:numPr>
          <w:ilvl w:val="0"/>
          <w:numId w:val="1"/>
        </w:numPr>
        <w:spacing w:after="0"/>
        <w:rPr>
          <w:b/>
          <w:sz w:val="24"/>
          <w:szCs w:val="24"/>
        </w:rPr>
      </w:pPr>
      <w:r w:rsidRPr="00975C53">
        <w:rPr>
          <w:b/>
          <w:sz w:val="24"/>
          <w:szCs w:val="24"/>
        </w:rPr>
        <w:t>Przystąpienie do remontu boiska.</w:t>
      </w:r>
    </w:p>
    <w:p w:rsidR="00445C90" w:rsidRDefault="00445C90" w:rsidP="00445C90">
      <w:pPr>
        <w:pStyle w:val="Akapitzlist"/>
        <w:spacing w:after="0"/>
        <w:rPr>
          <w:b/>
          <w:sz w:val="24"/>
          <w:szCs w:val="24"/>
        </w:rPr>
      </w:pPr>
    </w:p>
    <w:p w:rsidR="00975C53" w:rsidRDefault="00975C53" w:rsidP="00E40646">
      <w:pPr>
        <w:pStyle w:val="Akapitzlist"/>
        <w:numPr>
          <w:ilvl w:val="0"/>
          <w:numId w:val="2"/>
        </w:numPr>
        <w:spacing w:after="0"/>
        <w:jc w:val="both"/>
        <w:rPr>
          <w:sz w:val="24"/>
          <w:szCs w:val="24"/>
        </w:rPr>
      </w:pPr>
      <w:r>
        <w:rPr>
          <w:sz w:val="24"/>
          <w:szCs w:val="24"/>
        </w:rPr>
        <w:lastRenderedPageBreak/>
        <w:t>Przed rozpoczęciem prac należy wyznaczyć oraz zabezpieczyć cały teren w którym wykonywane będą prace remontowe. Plac budowy należy wyznaczyć taśmą ostrzegawczą a w miejscach szczególnie aktywnych należy powiesić stosowną tablicę informacyjną.</w:t>
      </w:r>
    </w:p>
    <w:p w:rsidR="00EA5995" w:rsidRDefault="00EA5995" w:rsidP="00E40646">
      <w:pPr>
        <w:pStyle w:val="Akapitzlist"/>
        <w:spacing w:after="0"/>
        <w:ind w:left="1440"/>
        <w:jc w:val="both"/>
        <w:rPr>
          <w:sz w:val="24"/>
          <w:szCs w:val="24"/>
        </w:rPr>
      </w:pPr>
    </w:p>
    <w:p w:rsidR="00F943CA" w:rsidRPr="00EA5995" w:rsidRDefault="00F943CA" w:rsidP="00EA5995">
      <w:pPr>
        <w:jc w:val="right"/>
      </w:pPr>
    </w:p>
    <w:p w:rsidR="00975C53" w:rsidRDefault="00975C53" w:rsidP="00E40646">
      <w:pPr>
        <w:pStyle w:val="Akapitzlist"/>
        <w:numPr>
          <w:ilvl w:val="0"/>
          <w:numId w:val="2"/>
        </w:numPr>
        <w:spacing w:after="0"/>
        <w:jc w:val="both"/>
        <w:rPr>
          <w:sz w:val="24"/>
          <w:szCs w:val="24"/>
        </w:rPr>
      </w:pPr>
      <w:r>
        <w:rPr>
          <w:sz w:val="24"/>
          <w:szCs w:val="24"/>
        </w:rPr>
        <w:t xml:space="preserve">Wykonawca </w:t>
      </w:r>
      <w:r w:rsidR="00445C90">
        <w:rPr>
          <w:sz w:val="24"/>
          <w:szCs w:val="24"/>
        </w:rPr>
        <w:t>po zabezpieczeniu terenu zdemontuje cały osprzęt sportowy znajdujący się na boisku. Po demontażu osprzętu zabezpieczyć należy wszystkie otwory i tuleje które pozostaną w obiekcie po demontażu osprzętu.</w:t>
      </w:r>
    </w:p>
    <w:p w:rsidR="00445C90" w:rsidRDefault="00445C90" w:rsidP="00445C90">
      <w:pPr>
        <w:pStyle w:val="Akapitzlist"/>
        <w:spacing w:after="0"/>
        <w:ind w:left="1440"/>
        <w:rPr>
          <w:sz w:val="24"/>
          <w:szCs w:val="24"/>
        </w:rPr>
      </w:pPr>
    </w:p>
    <w:p w:rsidR="00445C90" w:rsidRDefault="00445C90" w:rsidP="00445C90">
      <w:pPr>
        <w:pStyle w:val="Akapitzlist"/>
        <w:numPr>
          <w:ilvl w:val="0"/>
          <w:numId w:val="1"/>
        </w:numPr>
        <w:spacing w:after="0"/>
        <w:rPr>
          <w:b/>
          <w:sz w:val="24"/>
          <w:szCs w:val="24"/>
        </w:rPr>
      </w:pPr>
      <w:r w:rsidRPr="00445C90">
        <w:rPr>
          <w:b/>
          <w:sz w:val="24"/>
          <w:szCs w:val="24"/>
        </w:rPr>
        <w:t>Demontaż nawierzchni z trawy syntetycznej.</w:t>
      </w:r>
    </w:p>
    <w:p w:rsidR="00445C90" w:rsidRDefault="00445C90" w:rsidP="00445C90">
      <w:pPr>
        <w:pStyle w:val="Akapitzlist"/>
        <w:spacing w:after="0"/>
        <w:rPr>
          <w:b/>
          <w:sz w:val="24"/>
          <w:szCs w:val="24"/>
        </w:rPr>
      </w:pPr>
    </w:p>
    <w:p w:rsidR="00445C90" w:rsidRDefault="00445C90" w:rsidP="00445C90">
      <w:pPr>
        <w:pStyle w:val="Akapitzlist"/>
        <w:numPr>
          <w:ilvl w:val="0"/>
          <w:numId w:val="6"/>
        </w:numPr>
        <w:spacing w:after="0"/>
        <w:rPr>
          <w:sz w:val="24"/>
          <w:szCs w:val="24"/>
        </w:rPr>
      </w:pPr>
      <w:r>
        <w:rPr>
          <w:sz w:val="24"/>
          <w:szCs w:val="24"/>
        </w:rPr>
        <w:t>Wykonawca podejmie się zdejmowania ora zutylizowania nawierzchni z trawy syntetycznej, Wykonawca musi uwzględnić koszt związany z utylizacją oraz transportem nawierzchni.</w:t>
      </w:r>
    </w:p>
    <w:p w:rsidR="00F943CA" w:rsidRDefault="00F943CA" w:rsidP="00F943CA">
      <w:pPr>
        <w:pStyle w:val="Akapitzlist"/>
        <w:spacing w:after="0"/>
        <w:ind w:left="1440"/>
        <w:rPr>
          <w:sz w:val="24"/>
          <w:szCs w:val="24"/>
        </w:rPr>
      </w:pPr>
    </w:p>
    <w:p w:rsidR="00445C90" w:rsidRDefault="00445C90" w:rsidP="00445C90">
      <w:pPr>
        <w:pStyle w:val="Akapitzlist"/>
        <w:numPr>
          <w:ilvl w:val="0"/>
          <w:numId w:val="6"/>
        </w:numPr>
        <w:spacing w:after="0"/>
        <w:rPr>
          <w:sz w:val="24"/>
          <w:szCs w:val="24"/>
        </w:rPr>
      </w:pPr>
      <w:r>
        <w:rPr>
          <w:sz w:val="24"/>
          <w:szCs w:val="24"/>
        </w:rPr>
        <w:t>Zamawiający nie zezwala na wykorzystywanie materiałów z zdemontowanej nawierzchni.</w:t>
      </w:r>
    </w:p>
    <w:p w:rsidR="00445C90" w:rsidRDefault="00445C90" w:rsidP="00445C90">
      <w:pPr>
        <w:pStyle w:val="Akapitzlist"/>
        <w:spacing w:after="0"/>
        <w:ind w:left="1440"/>
        <w:rPr>
          <w:sz w:val="24"/>
          <w:szCs w:val="24"/>
        </w:rPr>
      </w:pPr>
    </w:p>
    <w:p w:rsidR="00445C90" w:rsidRDefault="00445C90" w:rsidP="00445C90">
      <w:pPr>
        <w:pStyle w:val="Akapitzlist"/>
        <w:numPr>
          <w:ilvl w:val="0"/>
          <w:numId w:val="1"/>
        </w:numPr>
        <w:spacing w:after="0"/>
        <w:rPr>
          <w:b/>
          <w:sz w:val="24"/>
          <w:szCs w:val="24"/>
        </w:rPr>
      </w:pPr>
      <w:r w:rsidRPr="00445C90">
        <w:rPr>
          <w:b/>
          <w:sz w:val="24"/>
          <w:szCs w:val="24"/>
        </w:rPr>
        <w:t>Prace przy podbudowie.</w:t>
      </w:r>
    </w:p>
    <w:p w:rsidR="00445C90" w:rsidRDefault="00445C90" w:rsidP="00445C90">
      <w:pPr>
        <w:pStyle w:val="Akapitzlist"/>
        <w:spacing w:after="0"/>
        <w:rPr>
          <w:b/>
          <w:sz w:val="24"/>
          <w:szCs w:val="24"/>
        </w:rPr>
      </w:pPr>
    </w:p>
    <w:p w:rsidR="00445C90" w:rsidRDefault="00445C90" w:rsidP="00445C90">
      <w:pPr>
        <w:pStyle w:val="Akapitzlist"/>
        <w:numPr>
          <w:ilvl w:val="0"/>
          <w:numId w:val="7"/>
        </w:numPr>
        <w:spacing w:after="0"/>
        <w:rPr>
          <w:sz w:val="24"/>
          <w:szCs w:val="24"/>
        </w:rPr>
      </w:pPr>
      <w:r>
        <w:rPr>
          <w:sz w:val="24"/>
          <w:szCs w:val="24"/>
        </w:rPr>
        <w:t>Przy równaniu wierzchniej warstwy podbudowy należy zastosować się do istniejących spadków.</w:t>
      </w:r>
    </w:p>
    <w:p w:rsidR="00F943CA" w:rsidRDefault="00F943CA" w:rsidP="00F943CA">
      <w:pPr>
        <w:pStyle w:val="Akapitzlist"/>
        <w:spacing w:after="0"/>
        <w:ind w:left="1440"/>
        <w:rPr>
          <w:sz w:val="24"/>
          <w:szCs w:val="24"/>
        </w:rPr>
      </w:pPr>
    </w:p>
    <w:p w:rsidR="00445C90" w:rsidRDefault="00445C90" w:rsidP="00E40646">
      <w:pPr>
        <w:pStyle w:val="Akapitzlist"/>
        <w:numPr>
          <w:ilvl w:val="0"/>
          <w:numId w:val="7"/>
        </w:numPr>
        <w:spacing w:after="0"/>
        <w:jc w:val="both"/>
        <w:rPr>
          <w:sz w:val="24"/>
          <w:szCs w:val="24"/>
        </w:rPr>
      </w:pPr>
      <w:r>
        <w:rPr>
          <w:sz w:val="24"/>
          <w:szCs w:val="24"/>
        </w:rPr>
        <w:t>Po demontażu nawierzchni należy wyrównać i uzupełnić istniejącą warstwę wierzchnią podbudowy. Wykonawca wyeliminuje różnego rodzaju nierówności warstwy wierzchniej takie jak: zastoiska wody, zagłębienia terenu, ubytki przy obrzeżach boiska, poprzez dosypania kruszywa dolomitowego o frakcji 0-4 mm. Uzupełnienia warstwy wierzchniej dotyczy całej powierzchni warstwy wierzchni boiska.</w:t>
      </w:r>
    </w:p>
    <w:p w:rsidR="00F943CA" w:rsidRDefault="00F943CA" w:rsidP="00E40646">
      <w:pPr>
        <w:pStyle w:val="Akapitzlist"/>
        <w:spacing w:after="0"/>
        <w:ind w:left="1440"/>
        <w:jc w:val="both"/>
        <w:rPr>
          <w:sz w:val="24"/>
          <w:szCs w:val="24"/>
        </w:rPr>
      </w:pPr>
    </w:p>
    <w:p w:rsidR="00445C90" w:rsidRDefault="00445C90" w:rsidP="00E40646">
      <w:pPr>
        <w:pStyle w:val="Akapitzlist"/>
        <w:numPr>
          <w:ilvl w:val="0"/>
          <w:numId w:val="7"/>
        </w:numPr>
        <w:spacing w:after="0"/>
        <w:jc w:val="both"/>
        <w:rPr>
          <w:sz w:val="24"/>
          <w:szCs w:val="24"/>
        </w:rPr>
      </w:pPr>
      <w:r>
        <w:rPr>
          <w:sz w:val="24"/>
          <w:szCs w:val="24"/>
        </w:rPr>
        <w:t>Po dokładnym uzupełnieniu oraz wyrównaniu warstwę wierzchnią należy na całej powierzchni zagęścić sprzętem mechanicznym tj. walec samojezdny czy zagęszczarka. Warstwa wierzchnia po przygotowaniu musi być stabilna, równa, mocna i sucha.</w:t>
      </w:r>
    </w:p>
    <w:p w:rsidR="00136BAF" w:rsidRDefault="00136BAF" w:rsidP="00136BAF">
      <w:pPr>
        <w:pStyle w:val="Akapitzlist"/>
        <w:spacing w:after="0"/>
        <w:ind w:left="1440"/>
        <w:rPr>
          <w:sz w:val="24"/>
          <w:szCs w:val="24"/>
        </w:rPr>
      </w:pPr>
    </w:p>
    <w:p w:rsidR="00136BAF" w:rsidRDefault="00136BAF" w:rsidP="00136BAF">
      <w:pPr>
        <w:pStyle w:val="Akapitzlist"/>
        <w:numPr>
          <w:ilvl w:val="0"/>
          <w:numId w:val="1"/>
        </w:numPr>
        <w:spacing w:after="0"/>
        <w:rPr>
          <w:b/>
          <w:sz w:val="24"/>
          <w:szCs w:val="24"/>
        </w:rPr>
      </w:pPr>
      <w:r w:rsidRPr="00136BAF">
        <w:rPr>
          <w:b/>
          <w:sz w:val="24"/>
          <w:szCs w:val="24"/>
        </w:rPr>
        <w:t>Montaż nowej n</w:t>
      </w:r>
      <w:r>
        <w:rPr>
          <w:b/>
          <w:sz w:val="24"/>
          <w:szCs w:val="24"/>
        </w:rPr>
        <w:t>awierzchni z trawy syntetycznej.</w:t>
      </w:r>
    </w:p>
    <w:p w:rsidR="00136BAF" w:rsidRDefault="00136BAF" w:rsidP="00136BAF">
      <w:pPr>
        <w:pStyle w:val="Akapitzlist"/>
        <w:spacing w:after="0"/>
        <w:rPr>
          <w:b/>
          <w:sz w:val="24"/>
          <w:szCs w:val="24"/>
        </w:rPr>
      </w:pPr>
    </w:p>
    <w:p w:rsidR="00136BAF" w:rsidRDefault="00136BAF" w:rsidP="00136BAF">
      <w:pPr>
        <w:pStyle w:val="Akapitzlist"/>
        <w:spacing w:after="0"/>
        <w:rPr>
          <w:sz w:val="24"/>
          <w:szCs w:val="24"/>
        </w:rPr>
      </w:pPr>
      <w:r>
        <w:rPr>
          <w:sz w:val="24"/>
          <w:szCs w:val="24"/>
        </w:rPr>
        <w:t>Wykonawca przy montażu nowej nawierzchni z trawy syntetycznej zobowiązany jest stosować się do zaleceń producenta nawierzchni.</w:t>
      </w:r>
    </w:p>
    <w:p w:rsidR="00136BAF" w:rsidRDefault="00136BAF" w:rsidP="00136BAF">
      <w:pPr>
        <w:pStyle w:val="Akapitzlist"/>
        <w:spacing w:after="0"/>
        <w:rPr>
          <w:sz w:val="24"/>
          <w:szCs w:val="24"/>
        </w:rPr>
      </w:pPr>
    </w:p>
    <w:p w:rsidR="00136BAF" w:rsidRDefault="00136BAF" w:rsidP="00EA5995">
      <w:pPr>
        <w:pStyle w:val="Akapitzlist"/>
        <w:spacing w:after="0"/>
        <w:jc w:val="both"/>
        <w:rPr>
          <w:sz w:val="24"/>
          <w:szCs w:val="24"/>
        </w:rPr>
      </w:pPr>
      <w:r>
        <w:rPr>
          <w:sz w:val="24"/>
          <w:szCs w:val="24"/>
        </w:rPr>
        <w:t xml:space="preserve">Zamawiający przewiduje nawierzchnie dwu-kolorową, oraz wklejenie linii dla tenisa oraz piłki ręcznej. Tenis musi być wyznaczony liniami w kolorze białym natomiast piłka ręczna musi być wyznaczona liniami w kolorze żółtym. Linie muszą </w:t>
      </w:r>
      <w:r w:rsidR="00E40646">
        <w:rPr>
          <w:sz w:val="24"/>
          <w:szCs w:val="24"/>
        </w:rPr>
        <w:t>m</w:t>
      </w:r>
      <w:r>
        <w:rPr>
          <w:sz w:val="24"/>
          <w:szCs w:val="24"/>
        </w:rPr>
        <w:t>ieć 5 cm szerokości</w:t>
      </w:r>
      <w:r w:rsidR="00E40646">
        <w:rPr>
          <w:sz w:val="24"/>
          <w:szCs w:val="24"/>
        </w:rPr>
        <w:t>,</w:t>
      </w:r>
      <w:r>
        <w:rPr>
          <w:sz w:val="24"/>
          <w:szCs w:val="24"/>
        </w:rPr>
        <w:t xml:space="preserve"> a wymiary boisk muszą być zgodne z przepisami: PZT (</w:t>
      </w:r>
      <w:r w:rsidR="00F943CA">
        <w:rPr>
          <w:sz w:val="24"/>
          <w:szCs w:val="24"/>
        </w:rPr>
        <w:t>Tenis) oraz ZPRP (Piłka ręczna).</w:t>
      </w:r>
    </w:p>
    <w:p w:rsidR="00F943CA" w:rsidRDefault="00F943CA" w:rsidP="00136BAF">
      <w:pPr>
        <w:pStyle w:val="Akapitzlist"/>
        <w:spacing w:after="0"/>
        <w:rPr>
          <w:sz w:val="24"/>
          <w:szCs w:val="24"/>
        </w:rPr>
      </w:pPr>
    </w:p>
    <w:p w:rsidR="00136BAF" w:rsidRDefault="00136BAF" w:rsidP="00E40646">
      <w:pPr>
        <w:pStyle w:val="Akapitzlist"/>
        <w:numPr>
          <w:ilvl w:val="0"/>
          <w:numId w:val="8"/>
        </w:numPr>
        <w:spacing w:after="0"/>
        <w:jc w:val="both"/>
        <w:rPr>
          <w:sz w:val="24"/>
          <w:szCs w:val="24"/>
        </w:rPr>
      </w:pPr>
      <w:r>
        <w:rPr>
          <w:sz w:val="24"/>
          <w:szCs w:val="24"/>
        </w:rPr>
        <w:lastRenderedPageBreak/>
        <w:t>Nawierzchnie czerwono-ceglastą, przeznaczoną pod kort tenisowy należy wykonać centralnie na boisku oraz wkleić linie w kolorze białym o szerokości 5 cm. Wymiary kortu tenisowego muszą być zgodne z przepisami PZT.</w:t>
      </w:r>
    </w:p>
    <w:p w:rsidR="00F943CA" w:rsidRDefault="00F943CA" w:rsidP="00F943CA">
      <w:pPr>
        <w:pStyle w:val="Akapitzlist"/>
        <w:spacing w:after="0"/>
        <w:ind w:left="1440"/>
        <w:rPr>
          <w:sz w:val="24"/>
          <w:szCs w:val="24"/>
        </w:rPr>
      </w:pPr>
    </w:p>
    <w:p w:rsidR="00F943CA" w:rsidRPr="00F943CA" w:rsidRDefault="00136BAF" w:rsidP="00F943CA">
      <w:pPr>
        <w:pStyle w:val="Akapitzlist"/>
        <w:numPr>
          <w:ilvl w:val="0"/>
          <w:numId w:val="8"/>
        </w:numPr>
        <w:spacing w:after="0"/>
        <w:rPr>
          <w:sz w:val="24"/>
          <w:szCs w:val="24"/>
        </w:rPr>
      </w:pPr>
      <w:r>
        <w:rPr>
          <w:sz w:val="24"/>
          <w:szCs w:val="24"/>
        </w:rPr>
        <w:t>Nawierzchnie w kolorze zielonym należy rozłożyć na całej pozostałej nawierzchni boiska (nie uwzględniając nawierzchni czerwono-ceglastej). W nawierzchni zielonej znajdować się musi boisko do piłki ręcznej. Boisko do piłki ręcznej wyznaczone będzie liniami w kolorze żółtym a szerokość 5 cm. Wymiary boiska do piłki ręcznej muszą być zgodne z przepisami ZPRP.</w:t>
      </w:r>
    </w:p>
    <w:p w:rsidR="00F943CA" w:rsidRDefault="00F943CA" w:rsidP="00F943CA">
      <w:pPr>
        <w:pStyle w:val="Akapitzlist"/>
        <w:spacing w:after="0"/>
        <w:ind w:left="1440"/>
        <w:rPr>
          <w:sz w:val="24"/>
          <w:szCs w:val="24"/>
        </w:rPr>
      </w:pPr>
    </w:p>
    <w:p w:rsidR="00136BAF" w:rsidRDefault="00136BAF" w:rsidP="00E40646">
      <w:pPr>
        <w:pStyle w:val="Akapitzlist"/>
        <w:numPr>
          <w:ilvl w:val="0"/>
          <w:numId w:val="8"/>
        </w:numPr>
        <w:spacing w:after="0"/>
        <w:jc w:val="both"/>
        <w:rPr>
          <w:sz w:val="24"/>
          <w:szCs w:val="24"/>
        </w:rPr>
      </w:pPr>
      <w:r>
        <w:rPr>
          <w:sz w:val="24"/>
          <w:szCs w:val="24"/>
        </w:rPr>
        <w:t xml:space="preserve">Nową nawierzchnie należy zasypać suszonym piaskiem kwarcowym o granulacji oraz ilości zasypu, zgodnie z wytycznymi oraz kartą techniczną </w:t>
      </w:r>
      <w:r w:rsidR="00F943CA">
        <w:rPr>
          <w:sz w:val="24"/>
          <w:szCs w:val="24"/>
        </w:rPr>
        <w:t>nawierzchni ustalonej przez producenta trawy syntetycznej.</w:t>
      </w:r>
    </w:p>
    <w:p w:rsidR="00F943CA" w:rsidRDefault="00F943CA" w:rsidP="00F943CA">
      <w:pPr>
        <w:spacing w:after="0"/>
        <w:ind w:left="1080"/>
        <w:rPr>
          <w:sz w:val="24"/>
          <w:szCs w:val="24"/>
        </w:rPr>
      </w:pPr>
    </w:p>
    <w:p w:rsidR="00F943CA" w:rsidRDefault="00F943CA" w:rsidP="00F943CA">
      <w:pPr>
        <w:spacing w:after="0"/>
        <w:ind w:left="1080"/>
        <w:rPr>
          <w:b/>
          <w:sz w:val="24"/>
          <w:szCs w:val="24"/>
        </w:rPr>
      </w:pPr>
      <w:r>
        <w:rPr>
          <w:b/>
          <w:sz w:val="24"/>
          <w:szCs w:val="24"/>
        </w:rPr>
        <w:t>Parametry nawierzchni z trawy syntetycznej do których Wykonawca musi się zastosować:</w:t>
      </w:r>
    </w:p>
    <w:p w:rsidR="00F943CA" w:rsidRDefault="00F943CA" w:rsidP="00F943CA">
      <w:pPr>
        <w:spacing w:after="0"/>
        <w:ind w:left="1080"/>
        <w:rPr>
          <w:b/>
          <w:sz w:val="24"/>
          <w:szCs w:val="24"/>
        </w:rPr>
      </w:pPr>
    </w:p>
    <w:p w:rsidR="00F943CA" w:rsidRPr="00F943CA" w:rsidRDefault="00F943CA" w:rsidP="00F943CA">
      <w:pPr>
        <w:pStyle w:val="Akapitzlist"/>
        <w:numPr>
          <w:ilvl w:val="0"/>
          <w:numId w:val="9"/>
        </w:numPr>
        <w:spacing w:after="0"/>
        <w:rPr>
          <w:b/>
          <w:sz w:val="24"/>
          <w:szCs w:val="24"/>
        </w:rPr>
      </w:pPr>
      <w:r>
        <w:rPr>
          <w:sz w:val="24"/>
          <w:szCs w:val="24"/>
        </w:rPr>
        <w:t>Włókno PE- taśma fibrylowana</w:t>
      </w:r>
    </w:p>
    <w:p w:rsidR="00F943CA" w:rsidRPr="00F943CA" w:rsidRDefault="00F943CA" w:rsidP="00F943CA">
      <w:pPr>
        <w:pStyle w:val="Akapitzlist"/>
        <w:numPr>
          <w:ilvl w:val="0"/>
          <w:numId w:val="9"/>
        </w:numPr>
        <w:spacing w:after="0"/>
        <w:rPr>
          <w:b/>
          <w:sz w:val="24"/>
          <w:szCs w:val="24"/>
        </w:rPr>
      </w:pPr>
      <w:r>
        <w:rPr>
          <w:sz w:val="24"/>
          <w:szCs w:val="24"/>
        </w:rPr>
        <w:t>Osnowa 100%- polipropylen</w:t>
      </w:r>
    </w:p>
    <w:p w:rsidR="00F943CA" w:rsidRPr="00F943CA" w:rsidRDefault="00F943CA" w:rsidP="00F943CA">
      <w:pPr>
        <w:pStyle w:val="Akapitzlist"/>
        <w:numPr>
          <w:ilvl w:val="0"/>
          <w:numId w:val="9"/>
        </w:numPr>
        <w:spacing w:after="0"/>
        <w:rPr>
          <w:b/>
          <w:sz w:val="24"/>
          <w:szCs w:val="24"/>
        </w:rPr>
      </w:pPr>
      <w:r>
        <w:rPr>
          <w:sz w:val="24"/>
          <w:szCs w:val="24"/>
        </w:rPr>
        <w:t>Wzmocnienie osnowy SBR Latex o rozstawie 3/16”</w:t>
      </w:r>
    </w:p>
    <w:p w:rsidR="00F943CA" w:rsidRPr="00F943CA" w:rsidRDefault="00F943CA" w:rsidP="00F943CA">
      <w:pPr>
        <w:pStyle w:val="Akapitzlist"/>
        <w:numPr>
          <w:ilvl w:val="0"/>
          <w:numId w:val="9"/>
        </w:numPr>
        <w:spacing w:after="0"/>
        <w:rPr>
          <w:b/>
          <w:sz w:val="24"/>
          <w:szCs w:val="24"/>
        </w:rPr>
      </w:pPr>
      <w:r>
        <w:rPr>
          <w:sz w:val="24"/>
          <w:szCs w:val="24"/>
        </w:rPr>
        <w:t>DTEX 6600</w:t>
      </w:r>
    </w:p>
    <w:p w:rsidR="00F943CA" w:rsidRPr="00F943CA" w:rsidRDefault="00F943CA" w:rsidP="00F943CA">
      <w:pPr>
        <w:pStyle w:val="Akapitzlist"/>
        <w:numPr>
          <w:ilvl w:val="0"/>
          <w:numId w:val="9"/>
        </w:numPr>
        <w:spacing w:after="0"/>
        <w:rPr>
          <w:b/>
          <w:sz w:val="24"/>
          <w:szCs w:val="24"/>
        </w:rPr>
      </w:pPr>
      <w:r>
        <w:rPr>
          <w:sz w:val="24"/>
          <w:szCs w:val="24"/>
        </w:rPr>
        <w:t>Grubość włókna: min. 65um o ciężarze 1 250 g/</w:t>
      </w:r>
      <w:r>
        <w:rPr>
          <w:rFonts w:ascii="Arial" w:hAnsi="Arial" w:cs="Arial"/>
          <w:color w:val="222222"/>
          <w:sz w:val="21"/>
          <w:szCs w:val="21"/>
          <w:shd w:val="clear" w:color="auto" w:fill="FFFFFF"/>
        </w:rPr>
        <w:t>m²</w:t>
      </w:r>
    </w:p>
    <w:p w:rsidR="00F943CA" w:rsidRPr="00F943CA" w:rsidRDefault="00F943CA" w:rsidP="00F943CA">
      <w:pPr>
        <w:pStyle w:val="Akapitzlist"/>
        <w:numPr>
          <w:ilvl w:val="0"/>
          <w:numId w:val="9"/>
        </w:numPr>
        <w:spacing w:after="0"/>
        <w:rPr>
          <w:b/>
          <w:sz w:val="24"/>
          <w:szCs w:val="24"/>
        </w:rPr>
      </w:pPr>
      <w:r>
        <w:rPr>
          <w:rFonts w:ascii="Arial" w:hAnsi="Arial" w:cs="Arial"/>
          <w:color w:val="222222"/>
          <w:sz w:val="21"/>
          <w:szCs w:val="21"/>
          <w:shd w:val="clear" w:color="auto" w:fill="FFFFFF"/>
        </w:rPr>
        <w:t>Ilość pęczków /m²: 44 049</w:t>
      </w:r>
    </w:p>
    <w:p w:rsidR="00F943CA" w:rsidRPr="00F943CA" w:rsidRDefault="00F943CA" w:rsidP="00F943CA">
      <w:pPr>
        <w:pStyle w:val="Akapitzlist"/>
        <w:numPr>
          <w:ilvl w:val="0"/>
          <w:numId w:val="9"/>
        </w:numPr>
        <w:spacing w:after="0"/>
        <w:rPr>
          <w:b/>
          <w:sz w:val="24"/>
          <w:szCs w:val="24"/>
        </w:rPr>
      </w:pPr>
      <w:r>
        <w:rPr>
          <w:rFonts w:ascii="Arial" w:hAnsi="Arial" w:cs="Arial"/>
          <w:color w:val="222222"/>
          <w:sz w:val="21"/>
          <w:szCs w:val="21"/>
          <w:shd w:val="clear" w:color="auto" w:fill="FFFFFF"/>
        </w:rPr>
        <w:t>Ilość włókien/m²: 88 188</w:t>
      </w:r>
    </w:p>
    <w:p w:rsidR="00F943CA" w:rsidRPr="00F943CA" w:rsidRDefault="00F943CA" w:rsidP="00F943CA">
      <w:pPr>
        <w:pStyle w:val="Akapitzlist"/>
        <w:numPr>
          <w:ilvl w:val="0"/>
          <w:numId w:val="9"/>
        </w:numPr>
        <w:spacing w:after="0"/>
        <w:rPr>
          <w:sz w:val="24"/>
          <w:szCs w:val="24"/>
        </w:rPr>
      </w:pPr>
      <w:r w:rsidRPr="00F943CA">
        <w:rPr>
          <w:sz w:val="24"/>
          <w:szCs w:val="24"/>
        </w:rPr>
        <w:t>Waga całkowita g/</w:t>
      </w:r>
      <w:r w:rsidRPr="00F943CA">
        <w:rPr>
          <w:rFonts w:ascii="Arial" w:hAnsi="Arial" w:cs="Arial"/>
          <w:color w:val="222222"/>
          <w:sz w:val="21"/>
          <w:szCs w:val="21"/>
          <w:shd w:val="clear" w:color="auto" w:fill="FFFFFF"/>
        </w:rPr>
        <w:t xml:space="preserve">m²: </w:t>
      </w:r>
      <w:r>
        <w:rPr>
          <w:rFonts w:ascii="Arial" w:hAnsi="Arial" w:cs="Arial"/>
          <w:color w:val="222222"/>
          <w:sz w:val="21"/>
          <w:szCs w:val="21"/>
          <w:shd w:val="clear" w:color="auto" w:fill="FFFFFF"/>
        </w:rPr>
        <w:t>2 370</w:t>
      </w:r>
    </w:p>
    <w:p w:rsidR="00F943CA" w:rsidRPr="00F943CA" w:rsidRDefault="00F943CA" w:rsidP="00F943CA">
      <w:pPr>
        <w:pStyle w:val="Akapitzlist"/>
        <w:numPr>
          <w:ilvl w:val="0"/>
          <w:numId w:val="9"/>
        </w:numPr>
        <w:spacing w:after="0"/>
        <w:rPr>
          <w:sz w:val="24"/>
          <w:szCs w:val="24"/>
        </w:rPr>
      </w:pPr>
      <w:r>
        <w:rPr>
          <w:rFonts w:ascii="Arial" w:hAnsi="Arial" w:cs="Arial"/>
          <w:color w:val="222222"/>
          <w:sz w:val="21"/>
          <w:szCs w:val="21"/>
          <w:shd w:val="clear" w:color="auto" w:fill="FFFFFF"/>
        </w:rPr>
        <w:t>Wytrzymałość UV [h]: 3 000</w:t>
      </w:r>
    </w:p>
    <w:p w:rsidR="00F943CA" w:rsidRPr="00F943CA" w:rsidRDefault="00F943CA" w:rsidP="00F943CA">
      <w:pPr>
        <w:pStyle w:val="Akapitzlist"/>
        <w:numPr>
          <w:ilvl w:val="0"/>
          <w:numId w:val="9"/>
        </w:numPr>
        <w:spacing w:after="0"/>
        <w:rPr>
          <w:sz w:val="24"/>
          <w:szCs w:val="24"/>
        </w:rPr>
      </w:pPr>
      <w:r>
        <w:rPr>
          <w:rFonts w:ascii="Arial" w:hAnsi="Arial" w:cs="Arial"/>
          <w:color w:val="222222"/>
          <w:sz w:val="21"/>
          <w:szCs w:val="21"/>
          <w:shd w:val="clear" w:color="auto" w:fill="FFFFFF"/>
        </w:rPr>
        <w:t>Wytrzymałość do światła: skala Shara stopień &gt;4</w:t>
      </w:r>
    </w:p>
    <w:p w:rsidR="00F943CA" w:rsidRPr="00F943CA" w:rsidRDefault="00F943CA" w:rsidP="00F943CA">
      <w:pPr>
        <w:pStyle w:val="Akapitzlist"/>
        <w:numPr>
          <w:ilvl w:val="0"/>
          <w:numId w:val="9"/>
        </w:numPr>
        <w:spacing w:after="0"/>
        <w:rPr>
          <w:sz w:val="24"/>
          <w:szCs w:val="24"/>
        </w:rPr>
      </w:pPr>
      <w:r>
        <w:rPr>
          <w:rFonts w:ascii="Arial" w:hAnsi="Arial" w:cs="Arial"/>
          <w:color w:val="222222"/>
          <w:sz w:val="21"/>
          <w:szCs w:val="21"/>
          <w:shd w:val="clear" w:color="auto" w:fill="FFFFFF"/>
        </w:rPr>
        <w:t>Wysokość włókna: 18-20 mm</w:t>
      </w:r>
    </w:p>
    <w:p w:rsidR="00F943CA" w:rsidRDefault="00F943CA" w:rsidP="00F943CA">
      <w:pPr>
        <w:spacing w:after="0"/>
        <w:ind w:left="708"/>
        <w:rPr>
          <w:b/>
          <w:sz w:val="24"/>
          <w:szCs w:val="24"/>
        </w:rPr>
      </w:pPr>
      <w:r>
        <w:rPr>
          <w:b/>
          <w:sz w:val="24"/>
          <w:szCs w:val="24"/>
        </w:rPr>
        <w:t xml:space="preserve"> W celu potwierdzenia, że oferent dostarcza produkt/nawierzchnię odpowiadającą wymogom Zamawiającego należy przedstawić w oryginale lub kserokopii potwierdzonej za zgodność przez Wykonawcę:</w:t>
      </w:r>
    </w:p>
    <w:p w:rsidR="00F943CA" w:rsidRDefault="00F943CA" w:rsidP="00F943CA">
      <w:pPr>
        <w:pStyle w:val="Akapitzlist"/>
        <w:numPr>
          <w:ilvl w:val="0"/>
          <w:numId w:val="11"/>
        </w:numPr>
        <w:spacing w:after="0"/>
        <w:rPr>
          <w:sz w:val="24"/>
          <w:szCs w:val="24"/>
        </w:rPr>
      </w:pPr>
      <w:r>
        <w:rPr>
          <w:sz w:val="24"/>
          <w:szCs w:val="24"/>
        </w:rPr>
        <w:t>Certyfikat lub deklarację zgodności wystawioną przez producenta nawierzchni</w:t>
      </w:r>
    </w:p>
    <w:p w:rsidR="00F943CA" w:rsidRDefault="00484A15" w:rsidP="00F943CA">
      <w:pPr>
        <w:pStyle w:val="Akapitzlist"/>
        <w:numPr>
          <w:ilvl w:val="0"/>
          <w:numId w:val="11"/>
        </w:numPr>
        <w:spacing w:after="0"/>
        <w:rPr>
          <w:sz w:val="24"/>
          <w:szCs w:val="24"/>
        </w:rPr>
      </w:pPr>
      <w:r>
        <w:rPr>
          <w:sz w:val="24"/>
          <w:szCs w:val="24"/>
        </w:rPr>
        <w:t>ATEST PZH dla oferowanej nawierzchni lub inny równoważny dokument na oferowaną nawierzchnię.</w:t>
      </w:r>
    </w:p>
    <w:p w:rsidR="00484A15" w:rsidRDefault="00484A15" w:rsidP="00F943CA">
      <w:pPr>
        <w:pStyle w:val="Akapitzlist"/>
        <w:numPr>
          <w:ilvl w:val="0"/>
          <w:numId w:val="11"/>
        </w:numPr>
        <w:spacing w:after="0"/>
        <w:rPr>
          <w:sz w:val="24"/>
          <w:szCs w:val="24"/>
        </w:rPr>
      </w:pPr>
      <w:r>
        <w:rPr>
          <w:sz w:val="24"/>
          <w:szCs w:val="24"/>
        </w:rPr>
        <w:t>Kartę techniczną oferowanej nawierzchni potwierdzonej przez jej producenta.</w:t>
      </w:r>
    </w:p>
    <w:p w:rsidR="00484A15" w:rsidRDefault="00484A15" w:rsidP="00F943CA">
      <w:pPr>
        <w:pStyle w:val="Akapitzlist"/>
        <w:numPr>
          <w:ilvl w:val="0"/>
          <w:numId w:val="11"/>
        </w:numPr>
        <w:spacing w:after="0"/>
        <w:rPr>
          <w:sz w:val="24"/>
          <w:szCs w:val="24"/>
        </w:rPr>
      </w:pPr>
      <w:r>
        <w:rPr>
          <w:sz w:val="24"/>
          <w:szCs w:val="24"/>
        </w:rPr>
        <w:t>Autoryzację producenta nawierzchni, wystawioną dla Wykonawcy na realizowaną inwestycję wraz z potwierdzeniem gwarancji udzielonej przez producenta na tą nawierzchnię.</w:t>
      </w:r>
    </w:p>
    <w:p w:rsidR="00484A15" w:rsidRDefault="00484A15" w:rsidP="00484A15">
      <w:pPr>
        <w:pStyle w:val="Akapitzlist"/>
        <w:spacing w:after="0"/>
        <w:ind w:left="2148"/>
        <w:rPr>
          <w:sz w:val="24"/>
          <w:szCs w:val="24"/>
        </w:rPr>
      </w:pPr>
    </w:p>
    <w:p w:rsidR="00484A15" w:rsidRPr="00484A15" w:rsidRDefault="00484A15" w:rsidP="00484A15">
      <w:pPr>
        <w:pStyle w:val="Akapitzlist"/>
        <w:numPr>
          <w:ilvl w:val="0"/>
          <w:numId w:val="1"/>
        </w:numPr>
        <w:spacing w:after="0"/>
        <w:rPr>
          <w:b/>
          <w:sz w:val="24"/>
          <w:szCs w:val="24"/>
        </w:rPr>
      </w:pPr>
      <w:r w:rsidRPr="00484A15">
        <w:rPr>
          <w:b/>
          <w:sz w:val="24"/>
          <w:szCs w:val="24"/>
        </w:rPr>
        <w:t>Prace końcowe</w:t>
      </w:r>
      <w:r>
        <w:rPr>
          <w:b/>
          <w:sz w:val="24"/>
          <w:szCs w:val="24"/>
        </w:rPr>
        <w:t>.</w:t>
      </w:r>
    </w:p>
    <w:p w:rsidR="00484A15" w:rsidRDefault="00484A15" w:rsidP="00484A15">
      <w:pPr>
        <w:pStyle w:val="Akapitzlist"/>
        <w:spacing w:after="0"/>
        <w:rPr>
          <w:sz w:val="24"/>
          <w:szCs w:val="24"/>
        </w:rPr>
      </w:pPr>
    </w:p>
    <w:p w:rsidR="00484A15" w:rsidRDefault="00484A15" w:rsidP="00E40646">
      <w:pPr>
        <w:pStyle w:val="Akapitzlist"/>
        <w:numPr>
          <w:ilvl w:val="0"/>
          <w:numId w:val="12"/>
        </w:numPr>
        <w:spacing w:after="0"/>
        <w:jc w:val="both"/>
        <w:rPr>
          <w:sz w:val="24"/>
          <w:szCs w:val="24"/>
        </w:rPr>
      </w:pPr>
      <w:r>
        <w:rPr>
          <w:sz w:val="24"/>
          <w:szCs w:val="24"/>
        </w:rPr>
        <w:t>Po zakończeniu montażu nawierzchni należy na nowo zamontować wcześniej zdemontowany osprzęt sportowy.</w:t>
      </w:r>
    </w:p>
    <w:p w:rsidR="00484A15" w:rsidRDefault="00484A15" w:rsidP="00E40646">
      <w:pPr>
        <w:pStyle w:val="Akapitzlist"/>
        <w:spacing w:after="0"/>
        <w:ind w:left="1440"/>
        <w:jc w:val="both"/>
        <w:rPr>
          <w:sz w:val="24"/>
          <w:szCs w:val="24"/>
        </w:rPr>
      </w:pPr>
    </w:p>
    <w:p w:rsidR="00484A15" w:rsidRPr="00484A15" w:rsidRDefault="00484A15" w:rsidP="00E40646">
      <w:pPr>
        <w:pStyle w:val="Akapitzlist"/>
        <w:numPr>
          <w:ilvl w:val="0"/>
          <w:numId w:val="12"/>
        </w:numPr>
        <w:spacing w:after="0"/>
        <w:jc w:val="both"/>
        <w:rPr>
          <w:sz w:val="24"/>
          <w:szCs w:val="24"/>
        </w:rPr>
      </w:pPr>
      <w:r>
        <w:rPr>
          <w:sz w:val="24"/>
          <w:szCs w:val="24"/>
        </w:rPr>
        <w:t>Po zakończeniu wszystkich prac należy uprzątnąć wszystkie pozostałości oraz zanieczyszczenia, które wynikły z prac remontowych.</w:t>
      </w:r>
    </w:p>
    <w:p w:rsidR="00F943CA" w:rsidRPr="00F943CA" w:rsidRDefault="00F943CA" w:rsidP="00F943CA">
      <w:pPr>
        <w:spacing w:after="0"/>
        <w:ind w:left="708"/>
        <w:rPr>
          <w:b/>
          <w:sz w:val="24"/>
          <w:szCs w:val="24"/>
        </w:rPr>
      </w:pPr>
    </w:p>
    <w:p w:rsidR="00136BAF" w:rsidRPr="00136BAF" w:rsidRDefault="00136BAF" w:rsidP="00136BAF">
      <w:pPr>
        <w:pStyle w:val="Akapitzlist"/>
        <w:spacing w:after="0"/>
        <w:rPr>
          <w:sz w:val="24"/>
          <w:szCs w:val="24"/>
        </w:rPr>
      </w:pPr>
    </w:p>
    <w:p w:rsidR="00136BAF" w:rsidRDefault="00136BAF" w:rsidP="00136BAF">
      <w:pPr>
        <w:spacing w:after="0"/>
        <w:ind w:left="360"/>
        <w:rPr>
          <w:sz w:val="24"/>
          <w:szCs w:val="24"/>
        </w:rPr>
      </w:pPr>
    </w:p>
    <w:p w:rsidR="00136BAF" w:rsidRPr="00136BAF" w:rsidRDefault="00136BAF" w:rsidP="00136BAF">
      <w:pPr>
        <w:spacing w:after="0"/>
        <w:ind w:left="360"/>
        <w:rPr>
          <w:sz w:val="24"/>
          <w:szCs w:val="24"/>
        </w:rPr>
      </w:pPr>
    </w:p>
    <w:p w:rsidR="00445C90" w:rsidRPr="00445C90" w:rsidRDefault="00445C90" w:rsidP="00445C90">
      <w:pPr>
        <w:spacing w:after="0"/>
        <w:rPr>
          <w:sz w:val="24"/>
          <w:szCs w:val="24"/>
        </w:rPr>
      </w:pPr>
    </w:p>
    <w:sectPr w:rsidR="00445C90" w:rsidRPr="00445C90" w:rsidSect="00136BAF">
      <w:foot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1DF2" w:rsidRDefault="003F1DF2" w:rsidP="00EA5995">
      <w:pPr>
        <w:spacing w:after="0" w:line="240" w:lineRule="auto"/>
      </w:pPr>
      <w:r>
        <w:separator/>
      </w:r>
    </w:p>
  </w:endnote>
  <w:endnote w:type="continuationSeparator" w:id="1">
    <w:p w:rsidR="003F1DF2" w:rsidRDefault="003F1DF2" w:rsidP="00EA59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0813502"/>
      <w:docPartObj>
        <w:docPartGallery w:val="Page Numbers (Bottom of Page)"/>
        <w:docPartUnique/>
      </w:docPartObj>
    </w:sdtPr>
    <w:sdtContent>
      <w:sdt>
        <w:sdtPr>
          <w:id w:val="-1769616900"/>
          <w:docPartObj>
            <w:docPartGallery w:val="Page Numbers (Top of Page)"/>
            <w:docPartUnique/>
          </w:docPartObj>
        </w:sdtPr>
        <w:sdtContent>
          <w:p w:rsidR="00EA5995" w:rsidRDefault="00EA5995">
            <w:pPr>
              <w:pStyle w:val="Stopka"/>
              <w:jc w:val="right"/>
            </w:pPr>
            <w:r w:rsidRPr="00EA5995">
              <w:rPr>
                <w:sz w:val="16"/>
              </w:rPr>
              <w:t xml:space="preserve">Strona </w:t>
            </w:r>
            <w:r w:rsidR="006837E8" w:rsidRPr="00EA5995">
              <w:rPr>
                <w:b/>
                <w:bCs/>
                <w:sz w:val="18"/>
                <w:szCs w:val="24"/>
              </w:rPr>
              <w:fldChar w:fldCharType="begin"/>
            </w:r>
            <w:r w:rsidRPr="00EA5995">
              <w:rPr>
                <w:b/>
                <w:bCs/>
                <w:sz w:val="16"/>
              </w:rPr>
              <w:instrText>PAGE</w:instrText>
            </w:r>
            <w:r w:rsidR="006837E8" w:rsidRPr="00EA5995">
              <w:rPr>
                <w:b/>
                <w:bCs/>
                <w:sz w:val="18"/>
                <w:szCs w:val="24"/>
              </w:rPr>
              <w:fldChar w:fldCharType="separate"/>
            </w:r>
            <w:r w:rsidR="0078624A">
              <w:rPr>
                <w:b/>
                <w:bCs/>
                <w:noProof/>
                <w:sz w:val="16"/>
              </w:rPr>
              <w:t>1</w:t>
            </w:r>
            <w:r w:rsidR="006837E8" w:rsidRPr="00EA5995">
              <w:rPr>
                <w:b/>
                <w:bCs/>
                <w:sz w:val="18"/>
                <w:szCs w:val="24"/>
              </w:rPr>
              <w:fldChar w:fldCharType="end"/>
            </w:r>
            <w:r w:rsidRPr="00EA5995">
              <w:rPr>
                <w:sz w:val="16"/>
              </w:rPr>
              <w:t xml:space="preserve"> z </w:t>
            </w:r>
            <w:r w:rsidR="006837E8" w:rsidRPr="00EA5995">
              <w:rPr>
                <w:b/>
                <w:bCs/>
                <w:sz w:val="18"/>
                <w:szCs w:val="24"/>
              </w:rPr>
              <w:fldChar w:fldCharType="begin"/>
            </w:r>
            <w:r w:rsidRPr="00EA5995">
              <w:rPr>
                <w:b/>
                <w:bCs/>
                <w:sz w:val="16"/>
              </w:rPr>
              <w:instrText>NUMPAGES</w:instrText>
            </w:r>
            <w:r w:rsidR="006837E8" w:rsidRPr="00EA5995">
              <w:rPr>
                <w:b/>
                <w:bCs/>
                <w:sz w:val="18"/>
                <w:szCs w:val="24"/>
              </w:rPr>
              <w:fldChar w:fldCharType="separate"/>
            </w:r>
            <w:r w:rsidR="0078624A">
              <w:rPr>
                <w:b/>
                <w:bCs/>
                <w:noProof/>
                <w:sz w:val="16"/>
              </w:rPr>
              <w:t>4</w:t>
            </w:r>
            <w:r w:rsidR="006837E8" w:rsidRPr="00EA5995">
              <w:rPr>
                <w:b/>
                <w:bCs/>
                <w:sz w:val="18"/>
                <w:szCs w:val="24"/>
              </w:rPr>
              <w:fldChar w:fldCharType="end"/>
            </w:r>
          </w:p>
        </w:sdtContent>
      </w:sdt>
    </w:sdtContent>
  </w:sdt>
  <w:p w:rsidR="00EA5995" w:rsidRDefault="00EA599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1DF2" w:rsidRDefault="003F1DF2" w:rsidP="00EA5995">
      <w:pPr>
        <w:spacing w:after="0" w:line="240" w:lineRule="auto"/>
      </w:pPr>
      <w:r>
        <w:separator/>
      </w:r>
    </w:p>
  </w:footnote>
  <w:footnote w:type="continuationSeparator" w:id="1">
    <w:p w:rsidR="003F1DF2" w:rsidRDefault="003F1DF2" w:rsidP="00EA59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158DA"/>
    <w:multiLevelType w:val="hybridMultilevel"/>
    <w:tmpl w:val="C5D643D6"/>
    <w:lvl w:ilvl="0" w:tplc="04150001">
      <w:start w:val="1"/>
      <w:numFmt w:val="bullet"/>
      <w:lvlText w:val=""/>
      <w:lvlJc w:val="left"/>
      <w:pPr>
        <w:ind w:left="2148" w:hanging="360"/>
      </w:pPr>
      <w:rPr>
        <w:rFonts w:ascii="Symbol" w:hAnsi="Symbol" w:hint="default"/>
      </w:rPr>
    </w:lvl>
    <w:lvl w:ilvl="1" w:tplc="04150003" w:tentative="1">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abstractNum w:abstractNumId="1">
    <w:nsid w:val="05B06C0B"/>
    <w:multiLevelType w:val="hybridMultilevel"/>
    <w:tmpl w:val="7AE2A5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C604C59"/>
    <w:multiLevelType w:val="hybridMultilevel"/>
    <w:tmpl w:val="53DA5D4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2030154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CD06FF8"/>
    <w:multiLevelType w:val="hybridMultilevel"/>
    <w:tmpl w:val="A20C3E0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35386A38"/>
    <w:multiLevelType w:val="hybridMultilevel"/>
    <w:tmpl w:val="46382460"/>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
    <w:nsid w:val="36DC5FC7"/>
    <w:multiLevelType w:val="hybridMultilevel"/>
    <w:tmpl w:val="1FE60180"/>
    <w:lvl w:ilvl="0" w:tplc="F6BA071A">
      <w:start w:val="1"/>
      <w:numFmt w:val="decimal"/>
      <w:lvlText w:val="%1."/>
      <w:lvlJc w:val="left"/>
      <w:pPr>
        <w:ind w:left="720" w:hanging="360"/>
      </w:pPr>
      <w:rPr>
        <w:rFonts w:ascii="Arial" w:hAnsi="Arial" w:cs="Arial" w:hint="default"/>
        <w:b/>
        <w:i w:val="0"/>
        <w:color w:val="222222"/>
        <w:sz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0512E8F"/>
    <w:multiLevelType w:val="hybridMultilevel"/>
    <w:tmpl w:val="B860EF6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479D2041"/>
    <w:multiLevelType w:val="hybridMultilevel"/>
    <w:tmpl w:val="420C47F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4FE30ED2"/>
    <w:multiLevelType w:val="hybridMultilevel"/>
    <w:tmpl w:val="6234D27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0">
    <w:nsid w:val="5C21387E"/>
    <w:multiLevelType w:val="hybridMultilevel"/>
    <w:tmpl w:val="01A09BD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1">
    <w:nsid w:val="6CB40261"/>
    <w:multiLevelType w:val="hybridMultilevel"/>
    <w:tmpl w:val="D90AF232"/>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71F93F76"/>
    <w:multiLevelType w:val="hybridMultilevel"/>
    <w:tmpl w:val="B02C2A0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739E478B"/>
    <w:multiLevelType w:val="hybridMultilevel"/>
    <w:tmpl w:val="C8AAA000"/>
    <w:lvl w:ilvl="0" w:tplc="04150019">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num w:numId="1">
    <w:abstractNumId w:val="6"/>
  </w:num>
  <w:num w:numId="2">
    <w:abstractNumId w:val="8"/>
  </w:num>
  <w:num w:numId="3">
    <w:abstractNumId w:val="4"/>
  </w:num>
  <w:num w:numId="4">
    <w:abstractNumId w:val="5"/>
  </w:num>
  <w:num w:numId="5">
    <w:abstractNumId w:val="13"/>
  </w:num>
  <w:num w:numId="6">
    <w:abstractNumId w:val="2"/>
  </w:num>
  <w:num w:numId="7">
    <w:abstractNumId w:val="11"/>
  </w:num>
  <w:num w:numId="8">
    <w:abstractNumId w:val="7"/>
  </w:num>
  <w:num w:numId="9">
    <w:abstractNumId w:val="9"/>
  </w:num>
  <w:num w:numId="10">
    <w:abstractNumId w:val="10"/>
  </w:num>
  <w:num w:numId="11">
    <w:abstractNumId w:val="0"/>
  </w:num>
  <w:num w:numId="12">
    <w:abstractNumId w:val="12"/>
  </w:num>
  <w:num w:numId="13">
    <w:abstractNumId w:val="1"/>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975C53"/>
    <w:rsid w:val="00136BAF"/>
    <w:rsid w:val="003F1DF2"/>
    <w:rsid w:val="00445C90"/>
    <w:rsid w:val="00484A15"/>
    <w:rsid w:val="00514B89"/>
    <w:rsid w:val="006837E8"/>
    <w:rsid w:val="0078624A"/>
    <w:rsid w:val="008613B3"/>
    <w:rsid w:val="00975C53"/>
    <w:rsid w:val="009C4BAD"/>
    <w:rsid w:val="00C42DF7"/>
    <w:rsid w:val="00DC3770"/>
    <w:rsid w:val="00E22248"/>
    <w:rsid w:val="00E40646"/>
    <w:rsid w:val="00EA5995"/>
    <w:rsid w:val="00F943C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C377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75C53"/>
    <w:pPr>
      <w:ind w:left="720"/>
      <w:contextualSpacing/>
    </w:pPr>
  </w:style>
  <w:style w:type="paragraph" w:styleId="Nagwek">
    <w:name w:val="header"/>
    <w:basedOn w:val="Normalny"/>
    <w:link w:val="NagwekZnak"/>
    <w:uiPriority w:val="99"/>
    <w:unhideWhenUsed/>
    <w:rsid w:val="00EA599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A5995"/>
  </w:style>
  <w:style w:type="paragraph" w:styleId="Stopka">
    <w:name w:val="footer"/>
    <w:basedOn w:val="Normalny"/>
    <w:link w:val="StopkaZnak"/>
    <w:uiPriority w:val="99"/>
    <w:unhideWhenUsed/>
    <w:rsid w:val="00EA599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A599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87024-2685-412E-AF13-AF89EDB0C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841</Words>
  <Characters>5046</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sekretarka</dc:creator>
  <cp:lastModifiedBy>Beata Wiechowska</cp:lastModifiedBy>
  <cp:revision>4</cp:revision>
  <dcterms:created xsi:type="dcterms:W3CDTF">2017-07-14T13:05:00Z</dcterms:created>
  <dcterms:modified xsi:type="dcterms:W3CDTF">2017-07-17T11:08:00Z</dcterms:modified>
</cp:coreProperties>
</file>